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D3" w:rsidRDefault="002C74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C74D3" w:rsidRDefault="002C74D3">
      <w:pPr>
        <w:pStyle w:val="ConsPlusNormal"/>
        <w:jc w:val="both"/>
        <w:outlineLvl w:val="0"/>
      </w:pPr>
    </w:p>
    <w:p w:rsidR="002C74D3" w:rsidRDefault="002C74D3">
      <w:pPr>
        <w:pStyle w:val="ConsPlusTitle"/>
        <w:jc w:val="center"/>
        <w:outlineLvl w:val="0"/>
      </w:pPr>
      <w:r>
        <w:t>МИНИСТЕРСТВО РОССИЙСКОЙ ФЕДЕРАЦИИ ПО ДЕЛАМ ГРАЖДАНСКОЙ</w:t>
      </w:r>
    </w:p>
    <w:p w:rsidR="002C74D3" w:rsidRDefault="002C74D3">
      <w:pPr>
        <w:pStyle w:val="ConsPlusTitle"/>
        <w:jc w:val="center"/>
      </w:pPr>
      <w:r>
        <w:t>ОБОРОНЫ, ЧРЕЗВЫЧАЙНЫМ СИТУАЦИЯМ И ЛИКВИДАЦИИ</w:t>
      </w:r>
    </w:p>
    <w:p w:rsidR="002C74D3" w:rsidRDefault="002C74D3">
      <w:pPr>
        <w:pStyle w:val="ConsPlusTitle"/>
        <w:jc w:val="center"/>
      </w:pPr>
      <w:r>
        <w:t>ПОСЛЕДСТВИЙ СТИХИЙНЫХ БЕДСТВИЙ</w:t>
      </w:r>
    </w:p>
    <w:p w:rsidR="002C74D3" w:rsidRDefault="002C74D3">
      <w:pPr>
        <w:pStyle w:val="ConsPlusTitle"/>
        <w:jc w:val="center"/>
      </w:pPr>
    </w:p>
    <w:p w:rsidR="002C74D3" w:rsidRDefault="002C74D3">
      <w:pPr>
        <w:pStyle w:val="ConsPlusTitle"/>
        <w:jc w:val="center"/>
      </w:pPr>
      <w:r>
        <w:t>ПИСЬМО</w:t>
      </w:r>
    </w:p>
    <w:p w:rsidR="002C74D3" w:rsidRDefault="002C74D3">
      <w:pPr>
        <w:pStyle w:val="ConsPlusTitle"/>
        <w:jc w:val="center"/>
      </w:pPr>
      <w:r>
        <w:t>от 27 февраля 2020 г. N 11-7-605</w:t>
      </w:r>
    </w:p>
    <w:p w:rsidR="002C74D3" w:rsidRDefault="002C74D3">
      <w:pPr>
        <w:pStyle w:val="ConsPlusTitle"/>
        <w:jc w:val="center"/>
      </w:pPr>
    </w:p>
    <w:p w:rsidR="002C74D3" w:rsidRDefault="002C74D3">
      <w:pPr>
        <w:pStyle w:val="ConsPlusTitle"/>
        <w:jc w:val="center"/>
      </w:pPr>
      <w:r>
        <w:t>О ПРИМЕРНОМ ПОРЯДКЕ</w:t>
      </w:r>
    </w:p>
    <w:p w:rsidR="002C74D3" w:rsidRDefault="002C74D3">
      <w:pPr>
        <w:pStyle w:val="ConsPlusTitle"/>
        <w:jc w:val="center"/>
      </w:pPr>
      <w:r>
        <w:t>РЕАЛИЗАЦИИ ВВОДНОГО ИНСТРУКТАЖА ПО ГО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ind w:firstLine="540"/>
        <w:jc w:val="both"/>
      </w:pPr>
      <w:hyperlink r:id="rId5">
        <w:r>
          <w:rPr>
            <w:color w:val="0000FF"/>
          </w:rPr>
          <w:t>Пунктом 1 статьи 9</w:t>
        </w:r>
      </w:hyperlink>
      <w:r>
        <w:t xml:space="preserve"> Федерального закона N 28-ФЗ "О гражданской обороне", </w:t>
      </w:r>
      <w:hyperlink r:id="rId6">
        <w:r>
          <w:rPr>
            <w:color w:val="0000FF"/>
          </w:rPr>
          <w:t>подпунктом "г" пункта 5</w:t>
        </w:r>
      </w:hyperlink>
      <w:r>
        <w:t xml:space="preserve"> Положения о подготовке населения в области гражданской обороны (постановление Правительства РФ от 02.11.2000 N 841 (ред. от 30.09.2019), </w:t>
      </w:r>
      <w:hyperlink r:id="rId7">
        <w:r>
          <w:rPr>
            <w:color w:val="0000FF"/>
          </w:rPr>
          <w:t>пунктом 7</w:t>
        </w:r>
      </w:hyperlink>
      <w:r>
        <w:t xml:space="preserve"> Положения о гражданской обороне в Российской Федерации (постановление Правительства РФ от 26.11.2007 N 804 (ред. от 30.09.2019) и </w:t>
      </w:r>
      <w:hyperlink r:id="rId8">
        <w:r>
          <w:rPr>
            <w:color w:val="0000FF"/>
          </w:rPr>
          <w:t>пунктом 16.1</w:t>
        </w:r>
      </w:hyperlink>
      <w:r>
        <w:t xml:space="preserve"> Положения об организации и ведении гражданской обороны в муниципальных образованиях и организациях (Приказ МЧС России от 14.11.2008 N 687 (ред. от 01.08.2016), зарегистрирован в Минюсте России 26.11.2008 N 12740) установлены требования по организации и проведению вводного инструктажа по гражданской обороне.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 xml:space="preserve">В целях разъяснения указанных положений нормативных правовых актов настоящим письмом МЧС России доводит Примерный </w:t>
      </w:r>
      <w:hyperlink w:anchor="P28">
        <w:r>
          <w:rPr>
            <w:color w:val="0000FF"/>
          </w:rPr>
          <w:t>порядок</w:t>
        </w:r>
      </w:hyperlink>
      <w:r>
        <w:t xml:space="preserve"> реализации вводного инструктажа по гражданской обороне (далее - Порядок) (прилагается).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 xml:space="preserve">Представленный </w:t>
      </w:r>
      <w:hyperlink w:anchor="P28">
        <w:r>
          <w:rPr>
            <w:color w:val="0000FF"/>
          </w:rPr>
          <w:t>Порядок</w:t>
        </w:r>
      </w:hyperlink>
      <w:r>
        <w:t xml:space="preserve"> не содержит обязательных предписаний и доводится в рамках реализации МЧС России функции методического руководства при решении вопросов по подготовке населения в области гражданской обороны.</w:t>
      </w:r>
    </w:p>
    <w:p w:rsidR="002C74D3" w:rsidRDefault="002C74D3">
      <w:pPr>
        <w:pStyle w:val="ConsPlusNormal"/>
        <w:spacing w:before="200"/>
        <w:ind w:firstLine="540"/>
        <w:jc w:val="both"/>
      </w:pPr>
      <w:hyperlink w:anchor="P28">
        <w:r>
          <w:rPr>
            <w:color w:val="0000FF"/>
          </w:rPr>
          <w:t>Порядок</w:t>
        </w:r>
      </w:hyperlink>
      <w:r>
        <w:t xml:space="preserve"> может применяться организациями при осуществлении подготовки работающего населения.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right"/>
      </w:pPr>
      <w:r>
        <w:t>Директор Департамента</w:t>
      </w:r>
    </w:p>
    <w:p w:rsidR="002C74D3" w:rsidRDefault="002C74D3">
      <w:pPr>
        <w:pStyle w:val="ConsPlusNormal"/>
        <w:jc w:val="right"/>
      </w:pPr>
      <w:r>
        <w:t>гражданской обороны и защиты населения</w:t>
      </w:r>
    </w:p>
    <w:p w:rsidR="002C74D3" w:rsidRDefault="002C74D3">
      <w:pPr>
        <w:pStyle w:val="ConsPlusNormal"/>
        <w:jc w:val="right"/>
      </w:pPr>
      <w:r>
        <w:t>О.Л.МАНУЙЛО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right"/>
        <w:outlineLvl w:val="0"/>
      </w:pPr>
      <w:r>
        <w:t>Приложение</w:t>
      </w:r>
    </w:p>
    <w:p w:rsidR="002C74D3" w:rsidRDefault="002C74D3">
      <w:pPr>
        <w:pStyle w:val="ConsPlusNormal"/>
        <w:jc w:val="right"/>
      </w:pPr>
      <w:r>
        <w:t>к письму МЧС России</w:t>
      </w:r>
    </w:p>
    <w:p w:rsidR="002C74D3" w:rsidRDefault="002C74D3">
      <w:pPr>
        <w:pStyle w:val="ConsPlusNormal"/>
        <w:jc w:val="right"/>
      </w:pPr>
      <w:r>
        <w:t>от 27.02.2020 N 11-7-605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Title"/>
        <w:jc w:val="center"/>
      </w:pPr>
      <w:bookmarkStart w:id="0" w:name="P28"/>
      <w:bookmarkEnd w:id="0"/>
      <w:r>
        <w:t>ПРИМЕРНЫЙ ПОРЯДОК</w:t>
      </w:r>
    </w:p>
    <w:p w:rsidR="002C74D3" w:rsidRDefault="002C74D3">
      <w:pPr>
        <w:pStyle w:val="ConsPlusTitle"/>
        <w:jc w:val="center"/>
      </w:pPr>
      <w:r>
        <w:t>РЕАЛИЗАЦИИ ВВОДНОГО ИНСТРУКТАЖА ПО ГРАЖДАНСКОЙ ОБОРОНЕ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 xml:space="preserve">1.1. Вводный инструктаж работников организаций по гражданской обороне (далее - вводный инструктаж по ГО) проводится в организациях на основании требований </w:t>
      </w:r>
      <w:hyperlink r:id="rId9">
        <w:r>
          <w:rPr>
            <w:color w:val="0000FF"/>
          </w:rPr>
          <w:t>постановлений</w:t>
        </w:r>
      </w:hyperlink>
      <w:r>
        <w:t xml:space="preserve"> Правительства Российской Федерации от 2 ноября 2000 года N 841 "Об утверждении положения о подготовке населения в области гражданской обороны".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1.2. Вводный инструктаж по ГО - это форма подготовки работающего населения в области гражданской обороны (далее - ГО), осуществляемая работодателем, направленная на ознакомление нанимаемых работников с информацией о наиболее вероятных опасностях, возникающих при военных конфликтах или вследствие этих конфликтов, при чрезвычайных ситуациях (далее - ЧС) природного и техногенного характера, с учетом особенностей деятельности и месторасположения организации работодателя, а также основ защиты от этих опасностей, установленных в организации.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1.3. Вводный инструктаж по ГО проводится с целью доведения до работников организации: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lastRenderedPageBreak/>
        <w:t>прав и обязанностей работников в области ГО и защиты от ЧС природного и техногенного характера;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возможных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основных требований по выполнению мероприятий ГО и защиты от ЧС природного и техногенного характера;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способов защиты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порядка действий по сигналам оповещения;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правил поведения и действий при возникновении ЧС природного и техногенного характера и выполнении мероприятий ГО;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информации об ответственности за нарушения требований в области ГО и защиты от ЧС природного и техногенного характера.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1.4. Вводный инструктаж по ГО проводится в организациях, зарегистрированных в установленном порядке и использующих в своей деятельности наемный труд (работников).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1.5. Вводный инструктаж по ГО проходят: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вновь принятые на работу лица, независимо от их образования, трудового стажа по профессии (должности), гражданства;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лица, командированные в организацию на срок более 30 календарных дней.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1.6. Вводный инструктаж по ГО проводится в период, не превышающий 30 календарных дней с даты фактического начала трудовой деятельности (пребывания в организации) работника (командированного лица).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1.7. Информация о трудоустройстве новых работников или прибытия в организацию командированных лиц доводится под роспись лицу, ответственному за проведение вводного инструктажа по ГО, кадровым органом в срок, не превышающий 7 календарных дней с даты фактического начала трудовой деятельности (пребывания в организации) работника (командированного лица).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Title"/>
        <w:ind w:firstLine="540"/>
        <w:jc w:val="both"/>
        <w:outlineLvl w:val="1"/>
      </w:pPr>
      <w:r>
        <w:t>2. Организация и проведение вводного инструктажа по гражданской обороне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2.1. В целях проведения с работниками вводного инструктажа по ГО в организации рекомендуется назначить ответственное лицо, разработать и утвердить программу проведения вводного инструктажа, а также форму журнала учета его прохождения.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2.2. Лицо, ответственное за проведение инструктажа по ГО, рекомендуется назначить приказом (распоряжением) руководителя организации из числа работников, уполномоченных на решение задач в области ГО и (или) защиты от ЧС природного и техногенного характера, руководителей занятий по ГО, либо осуществлять инструктаж непосредственно руководителем организации при условии прохождения им соответствующей подготовки.</w:t>
      </w:r>
    </w:p>
    <w:p w:rsidR="002C74D3" w:rsidRDefault="002C74D3">
      <w:pPr>
        <w:pStyle w:val="ConsPlusNormal"/>
        <w:spacing w:before="200"/>
        <w:ind w:firstLine="540"/>
        <w:jc w:val="both"/>
      </w:pPr>
      <w:bookmarkStart w:id="1" w:name="P52"/>
      <w:bookmarkEnd w:id="1"/>
      <w:r>
        <w:t>2.3. Программу проведения вводного инструктажа по ГО работников организации и журнал учета прохождения вводного инструктажа целесообразно разрабатывать на основании соответственно Примерной программы вводного инструктажа по ГО (</w:t>
      </w:r>
      <w:hyperlink w:anchor="P92">
        <w:r>
          <w:rPr>
            <w:color w:val="0000FF"/>
          </w:rPr>
          <w:t>раздел 4</w:t>
        </w:r>
      </w:hyperlink>
      <w:r>
        <w:t xml:space="preserve"> настоящего Порядка) и Типовой </w:t>
      </w:r>
      <w:hyperlink w:anchor="P202">
        <w:r>
          <w:rPr>
            <w:color w:val="0000FF"/>
          </w:rPr>
          <w:t>формы</w:t>
        </w:r>
      </w:hyperlink>
      <w:r>
        <w:t xml:space="preserve"> журнала учета проведения вводного инструктажа по ГО (приложение к настоящему Порядку), а также утверждать у руководителя организации.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2.4. При разработке программы вводного инструктажа по ГО рекомендуется учитывать: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особенности деятельности (опасные производственные факторы) и месторасположения (топо-, географические, административно-юридические) организации;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отнесение организации к категории по ГО;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lastRenderedPageBreak/>
        <w:t>положения плана ГО организации, плана действий по предупреждению и ликвидации ЧС и других документов, регулирующих организацию и планирование мероприятий по ГО и защите от ЧС природного и техногенного характера;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вероятность попадания организации в зоны возможных разрушений, радиоактивного загрязнения, химического заражения и катастрофического затопления;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оценку возможной обстановки, которая может сложиться в результате применения потенциальным противником обычных современных средств поражения.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2.5. Количество часов, отводимое на проведение вводного инструктажа по ГО определяется программой вводного инструктажа работников по ГО, утвержденной в организации.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2.6. В журнал учета проведения инструктажа по ГО, зарегистрированный в организации, рекомендуется вносить запись о факте прохождения работником вводного инструктажа по ГО, содержащую: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дату проведения инструктажа;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ФИО, наименование должности, подписи инструктируемого и инструктирующего лиц;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отметку о проверке усвоения информационного материала.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2.7. В случае наличия в организации филиалов и представительств, удаленно расположенных от головного офиса, в целях проведения вводного инструктажа по ГО предлагается в каждом филиале и представительстве организации назначать в установленном порядке лицо, ответственное за проведение инструктажа по ГО, производить регистрацию и ведение журнала учета проведения инструктажа по ГО, либо организовать проведение вводного инструктажа по ГО в дистанционной форме.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2.8. При проведении вводного инструктажа по ГО в дистанционной форме предлагается: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использовать аппаратно-программные средства, поддерживающие аудиовизуальную связь инструктора и инструктируемого лица в режиме реального времени, с возможностью дистанционного ведения электронного журнала учета прохождения инструктажа по ГО, либо обеспечить оформление акта, содержащего запись о факте прохождения работником вводного инструктажа по ГО с последующим направлением данного акта в головной офис организации в течение 20 календарных дней с даты проведения инструктажа;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приказом (распоряжением) руководителя организации утвердить порядок проведения вводного инструктажа по ГО для удаленных филиалов и представительств, содержащий следующие сведения: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ФИО, должность лица, ответственного за проведение инструктажа по ГО работников удаленного филиала или представительства &lt;1&gt;;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&lt;1&gt; В случае постоянного пребывания лица, ответственного за проведение инструктажа по ГО работников удаленного филиала или представительства, вне данного филиала или представительства, необходимо дополнительное назначение ответственного лица без предъявления требований к специальной подготовке в области ГО и защиты от ЧС природного и техногенного характера, в обязанности которого входит практическая демонстрация и сопровождение инструктируемых по маршрутам эвакуации из здания, мест расположения средств индивидуальной защиты и инженерных сооружений ГО.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ind w:firstLine="540"/>
        <w:jc w:val="both"/>
      </w:pPr>
      <w:r>
        <w:t>программу проведения инструктажа по ГО работников удаленного филиала или представительства;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журнал учета прохождения инструктажа по ГО работников удаленного филиала или представительства;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данные об аппаратно-программных средствах, применяемых для проведения инструктажа по ГО работников удаленного филиала или представительства.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Title"/>
        <w:ind w:firstLine="540"/>
        <w:jc w:val="both"/>
        <w:outlineLvl w:val="1"/>
      </w:pPr>
      <w:r>
        <w:lastRenderedPageBreak/>
        <w:t>3. Планируемые результаты прохождения вводного инструктажа по ГО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3.1. По завершении прохождения инструктажа по ГО инструктируемый должен: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а) знать: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потенциальные источники опасностей, которые могут привести к ЧС в организации (на территории организации), виды ЧС, характерные для территории расположения организации, опасности, которые могут возникнуть при военных конфликтах;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установленные в организации способы оповещения при угрозе и возникновении ЧС и военных конфликтов;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принятые в организации основные способы защиты от опасностей, возникающих при указанных ЧС и возможных военных конфликтах, правила действий при угрозе и возникновении данных опасностей;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места хранения средств индивидуальной защиты и расположения средств коллективной защиты (при наличии их в организации);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место расположения сборного эвакуационного пункта;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б) уметь: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действовать по сигналам оповещения;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действовать при объявлении эвакуации;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использовать средства индивидуальной и коллективной защиты.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3.2. В целях проверки усвоения информационного материала, доведенного в ходе вводного инструктажа по ГО, в завершении занятия инструктор в устной форме производит опрос инструктируемых лиц в рамках содержания программы вводного инструктажа, утвержденной в организации. В случае удовлетворительного ответа считается, что материал усвоен, в журнал учета вносится отметка "ЗАЧЕТ", в противном случае - отметка "НЕЗАЧЕТ".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Вне зависимости от результата прохождения вводного инструктажа по ГО, лица, его прошедшие, допускаются к исполнению трудовой деятельности.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 отношении лиц, имеющих отметку "НЕЗАЧЕТ" в результате прохождения вводного инструктажа по ГО, следует повторно провести инструктаж в течение 30 календарных дней с даты последнего инструктажа.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Title"/>
        <w:ind w:firstLine="540"/>
        <w:jc w:val="both"/>
        <w:outlineLvl w:val="1"/>
      </w:pPr>
      <w:bookmarkStart w:id="2" w:name="P92"/>
      <w:bookmarkEnd w:id="2"/>
      <w:r>
        <w:t>4. Примерная программа вводного инструктажа по ГО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4.1. Тематический план вводного инструктажа по ГО:</w:t>
      </w:r>
    </w:p>
    <w:p w:rsidR="002C74D3" w:rsidRDefault="002C74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930"/>
        <w:gridCol w:w="1531"/>
      </w:tblGrid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center"/>
            </w:pPr>
            <w:r>
              <w:t>Примерный перечень учебных вопросов</w:t>
            </w:r>
          </w:p>
        </w:tc>
        <w:tc>
          <w:tcPr>
            <w:tcW w:w="1531" w:type="dxa"/>
          </w:tcPr>
          <w:p w:rsidR="002C74D3" w:rsidRDefault="002C74D3">
            <w:pPr>
              <w:pStyle w:val="ConsPlusNormal"/>
              <w:jc w:val="center"/>
            </w:pPr>
            <w:r>
              <w:t xml:space="preserve">Время </w:t>
            </w:r>
            <w:hyperlink w:anchor="P132">
              <w:r>
                <w:rPr>
                  <w:color w:val="0000FF"/>
                </w:rPr>
                <w:t>&lt;*&gt;</w:t>
              </w:r>
            </w:hyperlink>
            <w:r>
              <w:t xml:space="preserve"> на отработку (минут)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t>5 - 15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t>5 - 20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организации, а также при военных конфликтах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t>5 - 20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 xml:space="preserve">Установленные в организации способы доведения сигналов гражданской </w:t>
            </w:r>
            <w:r>
              <w:lastRenderedPageBreak/>
              <w:t>обороны и информации об угрозе и возникновении ЧС и опасностей, присущих военным конфликтам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lastRenderedPageBreak/>
              <w:t>2 - 10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>Порядок действий работника при получении сигналов гражданской обороны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t>2 - 10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>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t>6 - 30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t>6 - 30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t>6 - 30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>Порядок действий работника при подготовке и проведении эвакуационных мероприятий:</w:t>
            </w:r>
          </w:p>
          <w:p w:rsidR="002C74D3" w:rsidRDefault="002C74D3">
            <w:pPr>
              <w:pStyle w:val="ConsPlusNormal"/>
              <w:ind w:left="284"/>
              <w:jc w:val="both"/>
            </w:pPr>
            <w:r>
              <w:t>по эвакуации работников;</w:t>
            </w:r>
          </w:p>
          <w:p w:rsidR="002C74D3" w:rsidRDefault="002C74D3">
            <w:pPr>
              <w:pStyle w:val="ConsPlusNormal"/>
              <w:ind w:left="284"/>
              <w:jc w:val="both"/>
            </w:pPr>
            <w:r>
              <w:t>по эвакуации материальных и культурных ценностей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t>6 - 30</w:t>
            </w:r>
          </w:p>
        </w:tc>
      </w:tr>
      <w:tr w:rsidR="002C74D3">
        <w:tc>
          <w:tcPr>
            <w:tcW w:w="594" w:type="dxa"/>
          </w:tcPr>
          <w:p w:rsidR="002C74D3" w:rsidRDefault="002C74D3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6930" w:type="dxa"/>
          </w:tcPr>
          <w:p w:rsidR="002C74D3" w:rsidRDefault="002C74D3">
            <w:pPr>
              <w:pStyle w:val="ConsPlusNormal"/>
              <w:jc w:val="both"/>
            </w:pPr>
            <w:r>
              <w:t>Права и обязанности граждан Российской Федерации в области ГО и защиты от ЧС природного и техногенного характера</w:t>
            </w:r>
          </w:p>
        </w:tc>
        <w:tc>
          <w:tcPr>
            <w:tcW w:w="1531" w:type="dxa"/>
            <w:vAlign w:val="center"/>
          </w:tcPr>
          <w:p w:rsidR="002C74D3" w:rsidRDefault="002C74D3">
            <w:pPr>
              <w:pStyle w:val="ConsPlusNormal"/>
              <w:jc w:val="center"/>
            </w:pPr>
            <w:r>
              <w:t>2 - 15</w:t>
            </w:r>
          </w:p>
        </w:tc>
      </w:tr>
    </w:tbl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ind w:firstLine="540"/>
        <w:jc w:val="both"/>
      </w:pPr>
      <w:r>
        <w:t>--------------------------------</w:t>
      </w:r>
    </w:p>
    <w:p w:rsidR="002C74D3" w:rsidRDefault="002C74D3">
      <w:pPr>
        <w:pStyle w:val="ConsPlusNormal"/>
        <w:spacing w:before="200"/>
        <w:ind w:firstLine="540"/>
        <w:jc w:val="both"/>
      </w:pPr>
      <w:bookmarkStart w:id="3" w:name="P132"/>
      <w:bookmarkEnd w:id="3"/>
      <w:r>
        <w:t>&lt;*&gt; Рекомендуемая продолжительность программы вводного инструктажа по ГО.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ind w:firstLine="540"/>
        <w:jc w:val="both"/>
      </w:pPr>
      <w:r>
        <w:t>4.2. Содержание учебных вопросов вводного инструктажа: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1. Возможные действия работника на рабочем месте, которые могут привести к аварии, катастрофе или ЧС техногенного характера в организации.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Наиболее опасные места (производства), расположенные на территории организации по признаку возникновения аварий, катастроф, чрезвычайных ситуаций.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Исходя из должностных обязанностей инструктируемого работника и правил, установленных в организации, возможные действия работника, которые могут привести к аварии, катастрофе или чрезвычайной ситуации, и возможные их последствия.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2. Наиболее характерные ЧС природного и техногенного характера, которые могут возникнуть в районе расположения организации, и опасности, присущие этим ЧС.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Потенциально опасные объекты, опасные производственные объекты, эксплуатируемые в организации, и возможные последствия аварий на них.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ЧС, характерные для географического месторасположения и производственной деятельности организации, присущие им опасности и возможные последствия их возникновения.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3. 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организации, а также при военных конфликтах.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Установленные в организации способы защиты работников от опасностей, возникающих при ЧС техногенного и природного характера, при военных конфликтах или вследствие этих конфликтов.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Основы их реализации.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4. Установленные в организации способы доведения сигналов гражданской обороны, а также информации при угрозе и возникновении ЧС и опасностей, присущих военным конфликтам.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 xml:space="preserve">Установленные способы и средства доведения сигналов гражданской обороны до работников </w:t>
      </w:r>
      <w:r>
        <w:lastRenderedPageBreak/>
        <w:t>организации.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Порядок доведения информации о ЧС и опасностях, присущих военным конфликтам.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Типовые тексты информационных сообщений.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5. Порядок действий работников при получении сигналов гражданской обороны.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Действия работников организации при получении сигналов гражданской обороны в случае нахождения: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на рабочем месте;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 столовой;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другое.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6. 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Установленные способы защиты работников при ЧС, связанных с утечкой (выбросом) аварийно химически опасных веществ и радиоактивным загрязнением.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Действия работника при угрозе и возникновении данных ЧС.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Порядок изготовления и применения подручных средств защиты органов дыхания.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Порядок действий при необходимости герметизации помещения.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7. Порядок действий работника при получении и использовании индивидуальных средств защиты органов дыхания и кожи (при их наличии в организации).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Средства индивидуальной защиты (далее - СИЗ), имеющиеся в организации и их защитные свойства.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Правила применения СИЗ: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органов дыхания;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кожи.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Демонстрация порядка практического применения СИЗ.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Пункт выдачи СИЗ. Порядок получения СИЗ, ответственное лицо за выдачу СИЗ.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8. Порядок действий работника при укрытии в средствах коллективной защиты (при применении в организации данного способа защиты).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- СКЗ) на территории организации или на территории муниципального образования, в которых предусмотрено укрытие работников организаций.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Обязанности укрываемых в СКЗ.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Вещи, рекомендуемые и запрещенные при использовании в СКЗ.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Порядок заполнения СКЗ и пребывания в них.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Правила поведения при укрытии в СКЗ.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9. Порядок действий работника при подготовке и проведении эвакуационных мероприятий.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Действия работника при подготовке и проведении эвакуационных мероприятий: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lastRenderedPageBreak/>
        <w:t>по эвакуации работников;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по эвакуации материальных и культурных ценностей.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Маршрут эвакуации от рабочего места работника организации до выхода из здания.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Правила поведения при срочной эвакуации из помещений и здания организации.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Порядок организованного выхода из помещения (с большим количеством работников).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Места расположения запасных выходов из здания. Характерные ошибки и опасность паники при эвакуации из помещений и зданий (в т.ч. при эвакуации с верхних этажей). Использование лифта в организации при эвакуации.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Безопасный район для работников организации (при наличии).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Председатель эвакуационной комиссии, время и место консультаций работников по вопросам эвакуации.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Действия работников организации при объявлении рассредоточения и эвакуации.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Перечень предметов первой необходимости.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Местоположение сборного эвакопункта (далее - СЭП).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Правила поведения в СЭП.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Обязанности работников по подготовке к эвакуации материальных и культурных ценностей.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Вопрос 10. Права и обязанности граждан Российской Федерации в области ГО и защиты от ЧС природного и техногенного характера.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Права и обязанности граждан Российской Федерации в области ГО 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:rsidR="002C74D3" w:rsidRDefault="002C74D3">
      <w:pPr>
        <w:pStyle w:val="ConsPlusNormal"/>
        <w:spacing w:before="200"/>
        <w:ind w:firstLine="540"/>
        <w:jc w:val="both"/>
      </w:pPr>
      <w:r>
        <w:t>Обязанности работника по выполнению мероприятий ГО и защиты от ЧС природного и техногенного характера в соответствии с трудовым договором или дополнительном соглашении.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right"/>
        <w:outlineLvl w:val="1"/>
      </w:pPr>
      <w:r>
        <w:t>Приложение</w:t>
      </w:r>
    </w:p>
    <w:p w:rsidR="002C74D3" w:rsidRDefault="002C74D3">
      <w:pPr>
        <w:pStyle w:val="ConsPlusNormal"/>
        <w:jc w:val="right"/>
      </w:pPr>
      <w:r>
        <w:t xml:space="preserve">к </w:t>
      </w:r>
      <w:hyperlink w:anchor="P52">
        <w:r>
          <w:rPr>
            <w:color w:val="0000FF"/>
          </w:rPr>
          <w:t>п. 2.3</w:t>
        </w:r>
      </w:hyperlink>
      <w:r>
        <w:t xml:space="preserve"> Порядка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right"/>
        <w:outlineLvl w:val="2"/>
      </w:pPr>
      <w:r>
        <w:t>Обложка</w:t>
      </w:r>
    </w:p>
    <w:p w:rsidR="002C74D3" w:rsidRDefault="002C74D3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C74D3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C74D3" w:rsidRDefault="002C74D3">
            <w:pPr>
              <w:pStyle w:val="ConsPlusNormal"/>
            </w:pPr>
          </w:p>
        </w:tc>
      </w:tr>
      <w:tr w:rsidR="002C74D3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C74D3" w:rsidRDefault="002C74D3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</w:tbl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center"/>
      </w:pPr>
      <w:bookmarkStart w:id="4" w:name="P202"/>
      <w:bookmarkEnd w:id="4"/>
      <w:r>
        <w:t>ЖУРНАЛ N _____</w:t>
      </w:r>
    </w:p>
    <w:p w:rsidR="002C74D3" w:rsidRDefault="002C74D3">
      <w:pPr>
        <w:pStyle w:val="ConsPlusNormal"/>
        <w:jc w:val="center"/>
      </w:pPr>
      <w:r>
        <w:t>учета вводного инструктажа по гражданской обороне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right"/>
      </w:pPr>
      <w:r>
        <w:t>Начат ____________ 20__ г.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right"/>
      </w:pPr>
      <w:r>
        <w:t>Окончен __________ 20__ г.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right"/>
        <w:outlineLvl w:val="2"/>
      </w:pPr>
      <w:r>
        <w:t>Следующая страница</w:t>
      </w:r>
    </w:p>
    <w:p w:rsidR="002C74D3" w:rsidRDefault="002C74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1077"/>
        <w:gridCol w:w="1361"/>
        <w:gridCol w:w="907"/>
        <w:gridCol w:w="1576"/>
        <w:gridCol w:w="907"/>
        <w:gridCol w:w="907"/>
        <w:gridCol w:w="1134"/>
      </w:tblGrid>
      <w:tr w:rsidR="002C74D3">
        <w:tc>
          <w:tcPr>
            <w:tcW w:w="2268" w:type="dxa"/>
            <w:gridSpan w:val="2"/>
          </w:tcPr>
          <w:p w:rsidR="002C74D3" w:rsidRDefault="002C74D3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61" w:type="dxa"/>
            <w:vMerge w:val="restart"/>
          </w:tcPr>
          <w:p w:rsidR="002C74D3" w:rsidRDefault="002C74D3">
            <w:pPr>
              <w:pStyle w:val="ConsPlusNormal"/>
              <w:jc w:val="center"/>
            </w:pPr>
            <w:r>
              <w:t xml:space="preserve">Фамилия, </w:t>
            </w:r>
            <w:r>
              <w:lastRenderedPageBreak/>
              <w:t>имя, отчество инструктируемого лица</w:t>
            </w:r>
          </w:p>
        </w:tc>
        <w:tc>
          <w:tcPr>
            <w:tcW w:w="907" w:type="dxa"/>
            <w:vMerge w:val="restart"/>
          </w:tcPr>
          <w:p w:rsidR="002C74D3" w:rsidRDefault="002C74D3">
            <w:pPr>
              <w:pStyle w:val="ConsPlusNormal"/>
              <w:jc w:val="center"/>
            </w:pPr>
            <w:r>
              <w:lastRenderedPageBreak/>
              <w:t>Должно</w:t>
            </w:r>
            <w:r>
              <w:lastRenderedPageBreak/>
              <w:t>сть инструктируемого лица</w:t>
            </w:r>
          </w:p>
        </w:tc>
        <w:tc>
          <w:tcPr>
            <w:tcW w:w="1576" w:type="dxa"/>
            <w:vMerge w:val="restart"/>
          </w:tcPr>
          <w:p w:rsidR="002C74D3" w:rsidRDefault="002C74D3">
            <w:pPr>
              <w:pStyle w:val="ConsPlusNormal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>отчество, должность инструктирующего</w:t>
            </w:r>
          </w:p>
        </w:tc>
        <w:tc>
          <w:tcPr>
            <w:tcW w:w="1814" w:type="dxa"/>
            <w:gridSpan w:val="2"/>
          </w:tcPr>
          <w:p w:rsidR="002C74D3" w:rsidRDefault="002C74D3">
            <w:pPr>
              <w:pStyle w:val="ConsPlusNormal"/>
              <w:jc w:val="center"/>
            </w:pPr>
            <w:r>
              <w:lastRenderedPageBreak/>
              <w:t>Подпись</w:t>
            </w:r>
          </w:p>
        </w:tc>
        <w:tc>
          <w:tcPr>
            <w:tcW w:w="1134" w:type="dxa"/>
            <w:vMerge w:val="restart"/>
          </w:tcPr>
          <w:p w:rsidR="002C74D3" w:rsidRDefault="002C74D3">
            <w:pPr>
              <w:pStyle w:val="ConsPlusNormal"/>
              <w:jc w:val="center"/>
            </w:pPr>
            <w:r>
              <w:t xml:space="preserve">Отметка о </w:t>
            </w:r>
            <w:r>
              <w:lastRenderedPageBreak/>
              <w:t>проверке знаний</w:t>
            </w:r>
          </w:p>
        </w:tc>
      </w:tr>
      <w:tr w:rsidR="002C74D3">
        <w:tc>
          <w:tcPr>
            <w:tcW w:w="1191" w:type="dxa"/>
          </w:tcPr>
          <w:p w:rsidR="002C74D3" w:rsidRDefault="002C74D3">
            <w:pPr>
              <w:pStyle w:val="ConsPlusNormal"/>
              <w:jc w:val="center"/>
            </w:pPr>
            <w:r>
              <w:lastRenderedPageBreak/>
              <w:t>Трудоустройства (прибытия)</w:t>
            </w:r>
          </w:p>
        </w:tc>
        <w:tc>
          <w:tcPr>
            <w:tcW w:w="1077" w:type="dxa"/>
          </w:tcPr>
          <w:p w:rsidR="002C74D3" w:rsidRDefault="002C74D3">
            <w:pPr>
              <w:pStyle w:val="ConsPlusNormal"/>
              <w:jc w:val="center"/>
            </w:pPr>
            <w:r>
              <w:t>Проведения инструктажа</w:t>
            </w:r>
          </w:p>
        </w:tc>
        <w:tc>
          <w:tcPr>
            <w:tcW w:w="1361" w:type="dxa"/>
            <w:vMerge/>
          </w:tcPr>
          <w:p w:rsidR="002C74D3" w:rsidRDefault="002C74D3">
            <w:pPr>
              <w:pStyle w:val="ConsPlusNormal"/>
            </w:pPr>
          </w:p>
        </w:tc>
        <w:tc>
          <w:tcPr>
            <w:tcW w:w="907" w:type="dxa"/>
            <w:vMerge/>
          </w:tcPr>
          <w:p w:rsidR="002C74D3" w:rsidRDefault="002C74D3">
            <w:pPr>
              <w:pStyle w:val="ConsPlusNormal"/>
            </w:pPr>
          </w:p>
        </w:tc>
        <w:tc>
          <w:tcPr>
            <w:tcW w:w="1576" w:type="dxa"/>
            <w:vMerge/>
          </w:tcPr>
          <w:p w:rsidR="002C74D3" w:rsidRDefault="002C74D3">
            <w:pPr>
              <w:pStyle w:val="ConsPlusNormal"/>
            </w:pPr>
          </w:p>
        </w:tc>
        <w:tc>
          <w:tcPr>
            <w:tcW w:w="907" w:type="dxa"/>
          </w:tcPr>
          <w:p w:rsidR="002C74D3" w:rsidRDefault="002C74D3">
            <w:pPr>
              <w:pStyle w:val="ConsPlusNormal"/>
              <w:jc w:val="center"/>
            </w:pPr>
            <w:r>
              <w:t>Инструктируемого</w:t>
            </w:r>
          </w:p>
        </w:tc>
        <w:tc>
          <w:tcPr>
            <w:tcW w:w="907" w:type="dxa"/>
          </w:tcPr>
          <w:p w:rsidR="002C74D3" w:rsidRDefault="002C74D3">
            <w:pPr>
              <w:pStyle w:val="ConsPlusNormal"/>
              <w:jc w:val="center"/>
            </w:pPr>
            <w:r>
              <w:t>Инструктирующего</w:t>
            </w:r>
          </w:p>
        </w:tc>
        <w:tc>
          <w:tcPr>
            <w:tcW w:w="1134" w:type="dxa"/>
            <w:vMerge/>
          </w:tcPr>
          <w:p w:rsidR="002C74D3" w:rsidRDefault="002C74D3">
            <w:pPr>
              <w:pStyle w:val="ConsPlusNormal"/>
            </w:pPr>
          </w:p>
        </w:tc>
      </w:tr>
      <w:tr w:rsidR="002C74D3">
        <w:tc>
          <w:tcPr>
            <w:tcW w:w="1191" w:type="dxa"/>
          </w:tcPr>
          <w:p w:rsidR="002C74D3" w:rsidRDefault="002C74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2C74D3" w:rsidRDefault="002C74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C74D3" w:rsidRDefault="002C74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2C74D3" w:rsidRDefault="002C74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6" w:type="dxa"/>
          </w:tcPr>
          <w:p w:rsidR="002C74D3" w:rsidRDefault="002C74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2C74D3" w:rsidRDefault="002C74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2C74D3" w:rsidRDefault="002C74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C74D3" w:rsidRDefault="002C74D3">
            <w:pPr>
              <w:pStyle w:val="ConsPlusNormal"/>
              <w:jc w:val="center"/>
            </w:pPr>
            <w:r>
              <w:t>8</w:t>
            </w:r>
          </w:p>
        </w:tc>
      </w:tr>
      <w:tr w:rsidR="002C74D3">
        <w:tc>
          <w:tcPr>
            <w:tcW w:w="1191" w:type="dxa"/>
          </w:tcPr>
          <w:p w:rsidR="002C74D3" w:rsidRDefault="002C74D3">
            <w:pPr>
              <w:pStyle w:val="ConsPlusNormal"/>
            </w:pPr>
          </w:p>
        </w:tc>
        <w:tc>
          <w:tcPr>
            <w:tcW w:w="1077" w:type="dxa"/>
          </w:tcPr>
          <w:p w:rsidR="002C74D3" w:rsidRDefault="002C74D3">
            <w:pPr>
              <w:pStyle w:val="ConsPlusNormal"/>
            </w:pPr>
          </w:p>
        </w:tc>
        <w:tc>
          <w:tcPr>
            <w:tcW w:w="1361" w:type="dxa"/>
          </w:tcPr>
          <w:p w:rsidR="002C74D3" w:rsidRDefault="002C74D3">
            <w:pPr>
              <w:pStyle w:val="ConsPlusNormal"/>
            </w:pPr>
          </w:p>
        </w:tc>
        <w:tc>
          <w:tcPr>
            <w:tcW w:w="907" w:type="dxa"/>
          </w:tcPr>
          <w:p w:rsidR="002C74D3" w:rsidRDefault="002C74D3">
            <w:pPr>
              <w:pStyle w:val="ConsPlusNormal"/>
            </w:pPr>
          </w:p>
        </w:tc>
        <w:tc>
          <w:tcPr>
            <w:tcW w:w="1576" w:type="dxa"/>
          </w:tcPr>
          <w:p w:rsidR="002C74D3" w:rsidRDefault="002C74D3">
            <w:pPr>
              <w:pStyle w:val="ConsPlusNormal"/>
            </w:pPr>
          </w:p>
        </w:tc>
        <w:tc>
          <w:tcPr>
            <w:tcW w:w="907" w:type="dxa"/>
          </w:tcPr>
          <w:p w:rsidR="002C74D3" w:rsidRDefault="002C74D3">
            <w:pPr>
              <w:pStyle w:val="ConsPlusNormal"/>
            </w:pPr>
          </w:p>
        </w:tc>
        <w:tc>
          <w:tcPr>
            <w:tcW w:w="907" w:type="dxa"/>
          </w:tcPr>
          <w:p w:rsidR="002C74D3" w:rsidRDefault="002C74D3">
            <w:pPr>
              <w:pStyle w:val="ConsPlusNormal"/>
            </w:pPr>
          </w:p>
        </w:tc>
        <w:tc>
          <w:tcPr>
            <w:tcW w:w="1134" w:type="dxa"/>
          </w:tcPr>
          <w:p w:rsidR="002C74D3" w:rsidRDefault="002C74D3">
            <w:pPr>
              <w:pStyle w:val="ConsPlusNormal"/>
            </w:pPr>
          </w:p>
        </w:tc>
      </w:tr>
    </w:tbl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ind w:firstLine="540"/>
        <w:jc w:val="both"/>
      </w:pPr>
      <w:r>
        <w:t>Страницы журнала нумеруются, прошиваются и скрепляются печатью организации.</w:t>
      </w: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jc w:val="both"/>
      </w:pPr>
    </w:p>
    <w:p w:rsidR="002C74D3" w:rsidRDefault="002C74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15A1" w:rsidRDefault="00BB15A1">
      <w:bookmarkStart w:id="5" w:name="_GoBack"/>
      <w:bookmarkEnd w:id="5"/>
    </w:p>
    <w:sectPr w:rsidR="00BB15A1" w:rsidSect="00C4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D3"/>
    <w:rsid w:val="002C74D3"/>
    <w:rsid w:val="006C49B3"/>
    <w:rsid w:val="00BB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12537-4921-4CC6-A759-C986D1F4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4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C74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C7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94E5F915028B26C7402BC1DEC9015803CDEBA9EB087ED6AEBAA25A05A853A82DED8788694C382CA9D9F03BF2412B12D9A39DF8e1y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94E5F915028B26C7402BC1DEC9015804CEE6A7EA037ED6AEBAA25A05A853A82DED878A6B476D7FE587A96ABF0A2713CEBF9CFB053B38F0e3y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94E5F915028B26C7402BC1DEC9015804C4E7A8E2077ED6AEBAA25A05A853A82DED878A6B476D78E487A96ABF0A2713CEBF9CFB053B38F0e3yF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994E5F915028B26C7402BC1DEC9015803CFE0A0E2097ED6AEBAA25A05A853A82DED878A6B476C7AE987A96ABF0A2713CEBF9CFB053B38F0e3yF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994E5F915028B26C7402BC1DEC9015804C4E7A8E2077ED6AEBAA25A05A853A82DED878A6B476D78E487A96ABF0A2713CEBF9CFB053B38F0e3y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"Илим"</Company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Оксана Витальевна</dc:creator>
  <cp:keywords/>
  <dc:description/>
  <cp:lastModifiedBy>Иванова Оксана Витальевна</cp:lastModifiedBy>
  <cp:revision>1</cp:revision>
  <dcterms:created xsi:type="dcterms:W3CDTF">2022-11-09T08:50:00Z</dcterms:created>
  <dcterms:modified xsi:type="dcterms:W3CDTF">2022-11-09T08:50:00Z</dcterms:modified>
</cp:coreProperties>
</file>